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bookmarkStart w:id="0" w:name="_GoBack"/>
      <w:bookmarkEnd w:id="0"/>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lastRenderedPageBreak/>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w:t>
      </w:r>
      <w:r w:rsidR="001841C4" w:rsidRPr="00B74AC3">
        <w:rPr>
          <w:rFonts w:ascii="Tahoma" w:hAnsi="Tahoma" w:cs="Tahoma"/>
          <w:sz w:val="20"/>
          <w:szCs w:val="20"/>
        </w:rPr>
        <w:lastRenderedPageBreak/>
        <w:t xml:space="preserve">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8"/>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EFF" w:usb1="C000247B" w:usb2="00000009" w:usb3="00000000" w:csb0="000001FF" w:csb1="00000000"/>
  </w:font>
  <w:font w:name="EUAlbertina">
    <w:altName w:val="Times New Roman"/>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4F247AFC"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C03A9D">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03A9D"/>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12300-68E8-42C8-B6E2-F81B27037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2436</Words>
  <Characters>13155</Characters>
  <Application>Microsoft Office Word</Application>
  <DocSecurity>4</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ΛΥΤΡΑ ΔΗΜΗΤΡΑ</cp:lastModifiedBy>
  <cp:revision>2</cp:revision>
  <cp:lastPrinted>2015-04-30T07:56:00Z</cp:lastPrinted>
  <dcterms:created xsi:type="dcterms:W3CDTF">2024-03-05T08:39:00Z</dcterms:created>
  <dcterms:modified xsi:type="dcterms:W3CDTF">2024-03-05T08:39:00Z</dcterms:modified>
</cp:coreProperties>
</file>